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7D0" w:rsidRPr="009417D0" w:rsidRDefault="009417D0" w:rsidP="009417D0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417D0">
        <w:rPr>
          <w:rFonts w:ascii="Times New Roman" w:eastAsia="Times New Roman" w:hAnsi="Times New Roman" w:cs="Times New Roman"/>
          <w:b/>
          <w:caps/>
          <w:sz w:val="28"/>
          <w:szCs w:val="28"/>
        </w:rPr>
        <w:t>Билет № 7</w:t>
      </w:r>
    </w:p>
    <w:p w:rsidR="009417D0" w:rsidRDefault="009417D0" w:rsidP="009417D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7D0">
        <w:rPr>
          <w:rFonts w:ascii="Times New Roman" w:eastAsia="Times New Roman" w:hAnsi="Times New Roman" w:cs="Times New Roman"/>
          <w:b/>
          <w:sz w:val="28"/>
          <w:szCs w:val="28"/>
        </w:rPr>
        <w:t>Архитектура средневековых городов: Париж, Лондон.</w:t>
      </w:r>
    </w:p>
    <w:p w:rsidR="009417D0" w:rsidRDefault="009417D0" w:rsidP="009417D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42E0" w:rsidRPr="000842E0" w:rsidRDefault="000842E0" w:rsidP="004A7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2E0">
        <w:rPr>
          <w:rFonts w:ascii="Times New Roman" w:hAnsi="Times New Roman" w:cs="Times New Roman"/>
          <w:sz w:val="28"/>
          <w:szCs w:val="28"/>
        </w:rPr>
        <w:t>Как правило, города насчитывали от одной до трёх-пяти тысяч жителей. Только очень крупные города имели население в несколько десятков тысяч человек.</w:t>
      </w:r>
      <w:r w:rsidR="00CA564A">
        <w:rPr>
          <w:rFonts w:ascii="Times New Roman" w:hAnsi="Times New Roman" w:cs="Times New Roman"/>
          <w:sz w:val="28"/>
          <w:szCs w:val="28"/>
        </w:rPr>
        <w:t xml:space="preserve"> </w:t>
      </w:r>
      <w:r w:rsidRPr="000842E0">
        <w:rPr>
          <w:rFonts w:ascii="Times New Roman" w:hAnsi="Times New Roman" w:cs="Times New Roman"/>
          <w:sz w:val="28"/>
          <w:szCs w:val="28"/>
        </w:rPr>
        <w:t xml:space="preserve">Средневековые города были окружены высокими стенами с башнями, а также глубокими рвами для защиты от нападения извне. Стены ограничивали рост города, поэтому улицы делались крайне узкими, а верхние этажи домов нередко выступали </w:t>
      </w:r>
      <w:proofErr w:type="gramStart"/>
      <w:r w:rsidRPr="000842E0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0842E0">
        <w:rPr>
          <w:rFonts w:ascii="Times New Roman" w:hAnsi="Times New Roman" w:cs="Times New Roman"/>
          <w:sz w:val="28"/>
          <w:szCs w:val="28"/>
        </w:rPr>
        <w:t xml:space="preserve"> нижними. Узкие и кривые улицы городов были часто полутёмными, уличного освещения не существовало. Центральным местом в городе была обычно рыночная площадь, неподалёку от которой располагался городской собор</w:t>
      </w:r>
      <w:r w:rsidR="00CA564A">
        <w:rPr>
          <w:rFonts w:ascii="Times New Roman" w:hAnsi="Times New Roman" w:cs="Times New Roman"/>
          <w:sz w:val="28"/>
          <w:szCs w:val="28"/>
        </w:rPr>
        <w:t xml:space="preserve"> - ратуша</w:t>
      </w:r>
      <w:r w:rsidRPr="000842E0">
        <w:rPr>
          <w:rFonts w:ascii="Times New Roman" w:hAnsi="Times New Roman" w:cs="Times New Roman"/>
          <w:sz w:val="28"/>
          <w:szCs w:val="28"/>
        </w:rPr>
        <w:t>.</w:t>
      </w:r>
    </w:p>
    <w:p w:rsidR="000842E0" w:rsidRPr="00F34F1C" w:rsidRDefault="000842E0" w:rsidP="004A7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1C">
        <w:rPr>
          <w:rFonts w:ascii="Times New Roman" w:hAnsi="Times New Roman" w:cs="Times New Roman"/>
          <w:sz w:val="28"/>
          <w:szCs w:val="28"/>
        </w:rPr>
        <w:t xml:space="preserve">Городские дома до XII в. мало чем отличались от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сельских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 xml:space="preserve">. Лишь с XIV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 xml:space="preserve"> городах распространяется каменное строительство.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 xml:space="preserve"> появились каменные церкви, затем - дома знатных лиц и общественные здания, а также усадьбы таких ремесленников, которые использовали пожароопасные печи и горны: пекарей, кузнецов, аптекарей. Но даже в крупных городах еще в XIV в. каменные дома горожан, особенно к северу от Луары, в Германии были редкостью.</w:t>
      </w:r>
    </w:p>
    <w:p w:rsidR="000842E0" w:rsidRPr="00F34F1C" w:rsidRDefault="000842E0" w:rsidP="004A7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1C">
        <w:rPr>
          <w:rFonts w:ascii="Times New Roman" w:hAnsi="Times New Roman" w:cs="Times New Roman"/>
          <w:sz w:val="28"/>
          <w:szCs w:val="28"/>
        </w:rPr>
        <w:t>Мостовые</w:t>
      </w:r>
      <w:r w:rsidR="004A74E1" w:rsidRPr="00F34F1C">
        <w:rPr>
          <w:rFonts w:ascii="Times New Roman" w:hAnsi="Times New Roman" w:cs="Times New Roman"/>
          <w:sz w:val="28"/>
          <w:szCs w:val="28"/>
        </w:rPr>
        <w:t>, например,</w:t>
      </w:r>
      <w:r w:rsidRPr="00F34F1C">
        <w:rPr>
          <w:rFonts w:ascii="Times New Roman" w:hAnsi="Times New Roman" w:cs="Times New Roman"/>
          <w:sz w:val="28"/>
          <w:szCs w:val="28"/>
        </w:rPr>
        <w:t xml:space="preserve"> в Париже</w:t>
      </w:r>
      <w:r w:rsidR="004A74E1" w:rsidRPr="00F34F1C">
        <w:rPr>
          <w:rFonts w:ascii="Times New Roman" w:hAnsi="Times New Roman" w:cs="Times New Roman"/>
          <w:sz w:val="28"/>
          <w:szCs w:val="28"/>
        </w:rPr>
        <w:t>,</w:t>
      </w:r>
      <w:r w:rsidRPr="00F34F1C">
        <w:rPr>
          <w:rFonts w:ascii="Times New Roman" w:hAnsi="Times New Roman" w:cs="Times New Roman"/>
          <w:sz w:val="28"/>
          <w:szCs w:val="28"/>
        </w:rPr>
        <w:t xml:space="preserve"> появились в XII веке - каждый горожанин должен был заботиться о том, чтобы улица перед его домом была замощена. Эта мера была распространена затем к XIV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A74E1" w:rsidRPr="00F34F1C">
        <w:rPr>
          <w:rFonts w:ascii="Times New Roman" w:hAnsi="Times New Roman" w:cs="Times New Roman"/>
          <w:sz w:val="28"/>
          <w:szCs w:val="28"/>
        </w:rPr>
        <w:t>.</w:t>
      </w:r>
      <w:r w:rsidRPr="00F34F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 xml:space="preserve"> королевскому приказу и на другие французские города. Водосточные канавы появились только в XIV-XV вв., и то лишь в крупных городах.</w:t>
      </w:r>
    </w:p>
    <w:p w:rsidR="004A74E1" w:rsidRPr="00F34F1C" w:rsidRDefault="000842E0" w:rsidP="004A7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1C">
        <w:rPr>
          <w:rFonts w:ascii="Times New Roman" w:hAnsi="Times New Roman" w:cs="Times New Roman"/>
          <w:sz w:val="28"/>
          <w:szCs w:val="28"/>
        </w:rPr>
        <w:t>В городах вследствие антисанитарного состояния часто вспыхивали эпидемии, смертность от которых была очень велика. Часто случались и пожары, так как многие здания были деревянными и примыкали друг к другу.</w:t>
      </w:r>
    </w:p>
    <w:p w:rsidR="00F34F1C" w:rsidRPr="00F34F1C" w:rsidRDefault="000842E0" w:rsidP="00F34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1C">
        <w:rPr>
          <w:rFonts w:ascii="Times New Roman" w:hAnsi="Times New Roman" w:cs="Times New Roman"/>
          <w:sz w:val="28"/>
          <w:szCs w:val="28"/>
        </w:rPr>
        <w:t xml:space="preserve">Исторический центр </w:t>
      </w:r>
      <w:r w:rsidR="004A74E1" w:rsidRPr="00F34F1C">
        <w:rPr>
          <w:rFonts w:ascii="Times New Roman" w:hAnsi="Times New Roman" w:cs="Times New Roman"/>
          <w:b/>
          <w:i/>
          <w:sz w:val="28"/>
          <w:szCs w:val="28"/>
        </w:rPr>
        <w:t>Парижа</w:t>
      </w:r>
      <w:r w:rsidRPr="00F34F1C">
        <w:rPr>
          <w:rFonts w:ascii="Times New Roman" w:hAnsi="Times New Roman" w:cs="Times New Roman"/>
          <w:sz w:val="28"/>
          <w:szCs w:val="28"/>
        </w:rPr>
        <w:t xml:space="preserve"> — остров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Сите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>, где находятся две самых знаменитых церкви Франции: Собор Парижской Богоматери и Святая капелла.</w:t>
      </w:r>
      <w:r w:rsidR="00F34F1C" w:rsidRPr="00F34F1C">
        <w:t xml:space="preserve"> </w:t>
      </w:r>
      <w:r w:rsidR="00B767EB" w:rsidRPr="00F34F1C">
        <w:rPr>
          <w:rFonts w:ascii="Times New Roman" w:hAnsi="Times New Roman" w:cs="Times New Roman"/>
          <w:sz w:val="28"/>
          <w:szCs w:val="28"/>
        </w:rPr>
        <w:t xml:space="preserve">Историческая ось памятников архитектуры пересекает город из центра на запад. Начинаясь от знаменитого на весь мир музея Лувр, она продолжается через сад Тюильри, проспект Елисейские поля до Триумфальной арки, построенной в XIX веке в центре площади Звезды. </w:t>
      </w:r>
      <w:r w:rsidR="00F34F1C" w:rsidRPr="00F34F1C">
        <w:rPr>
          <w:rFonts w:ascii="Times New Roman" w:hAnsi="Times New Roman" w:cs="Times New Roman"/>
          <w:sz w:val="28"/>
          <w:szCs w:val="28"/>
        </w:rPr>
        <w:t xml:space="preserve">На севере от Эйфелевой башни над линией горизонта возвышается базилика </w:t>
      </w:r>
      <w:proofErr w:type="spellStart"/>
      <w:r w:rsidR="00F34F1C" w:rsidRPr="00F34F1C">
        <w:rPr>
          <w:rFonts w:ascii="Times New Roman" w:hAnsi="Times New Roman" w:cs="Times New Roman"/>
          <w:sz w:val="28"/>
          <w:szCs w:val="28"/>
        </w:rPr>
        <w:t>Сакре-Кёр</w:t>
      </w:r>
      <w:proofErr w:type="spellEnd"/>
      <w:r w:rsidR="00F34F1C" w:rsidRPr="00F34F1C">
        <w:rPr>
          <w:rFonts w:ascii="Times New Roman" w:hAnsi="Times New Roman" w:cs="Times New Roman"/>
          <w:sz w:val="28"/>
          <w:szCs w:val="28"/>
        </w:rPr>
        <w:t xml:space="preserve">, построенная на вершине холма Монмартр, а на юге — одинокая башня Тур </w:t>
      </w:r>
      <w:proofErr w:type="spellStart"/>
      <w:r w:rsidR="00F34F1C" w:rsidRPr="00F34F1C">
        <w:rPr>
          <w:rFonts w:ascii="Times New Roman" w:hAnsi="Times New Roman" w:cs="Times New Roman"/>
          <w:sz w:val="28"/>
          <w:szCs w:val="28"/>
        </w:rPr>
        <w:t>Монпарнас</w:t>
      </w:r>
      <w:proofErr w:type="spellEnd"/>
      <w:r w:rsidR="00F34F1C" w:rsidRPr="00F34F1C">
        <w:rPr>
          <w:rFonts w:ascii="Times New Roman" w:hAnsi="Times New Roman" w:cs="Times New Roman"/>
          <w:sz w:val="28"/>
          <w:szCs w:val="28"/>
        </w:rPr>
        <w:t>, особенно выделяющаяся на фоне своего «плоского» района.</w:t>
      </w:r>
    </w:p>
    <w:p w:rsidR="004A74E1" w:rsidRPr="00F34F1C" w:rsidRDefault="004A74E1" w:rsidP="004A7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F1C">
        <w:rPr>
          <w:rFonts w:ascii="Times New Roman" w:hAnsi="Times New Roman" w:cs="Times New Roman"/>
          <w:b/>
          <w:i/>
          <w:sz w:val="28"/>
          <w:szCs w:val="28"/>
        </w:rPr>
        <w:t>Лондон</w:t>
      </w:r>
      <w:r w:rsidRPr="00F34F1C">
        <w:rPr>
          <w:rFonts w:ascii="Times New Roman" w:hAnsi="Times New Roman" w:cs="Times New Roman"/>
          <w:sz w:val="28"/>
          <w:szCs w:val="28"/>
        </w:rPr>
        <w:t xml:space="preserve"> - </w:t>
      </w:r>
      <w:r w:rsidR="00F34F1C" w:rsidRPr="00F34F1C">
        <w:rPr>
          <w:rFonts w:ascii="Times New Roman" w:hAnsi="Times New Roman" w:cs="Times New Roman"/>
          <w:sz w:val="28"/>
          <w:szCs w:val="28"/>
        </w:rPr>
        <w:t>и</w:t>
      </w:r>
      <w:r w:rsidRPr="00F34F1C">
        <w:rPr>
          <w:rFonts w:ascii="Times New Roman" w:hAnsi="Times New Roman" w:cs="Times New Roman"/>
          <w:sz w:val="28"/>
          <w:szCs w:val="28"/>
        </w:rPr>
        <w:t xml:space="preserve">з сооружений нормандского стиля в Лондоне известен Тауэр, </w:t>
      </w:r>
      <w:r w:rsidR="00F34F1C" w:rsidRPr="00F34F1C">
        <w:rPr>
          <w:rFonts w:ascii="Times New Roman" w:hAnsi="Times New Roman" w:cs="Times New Roman"/>
          <w:sz w:val="28"/>
          <w:szCs w:val="28"/>
        </w:rPr>
        <w:t>к</w:t>
      </w:r>
      <w:r w:rsidRPr="00F34F1C">
        <w:rPr>
          <w:rFonts w:ascii="Times New Roman" w:hAnsi="Times New Roman" w:cs="Times New Roman"/>
          <w:sz w:val="28"/>
          <w:szCs w:val="28"/>
        </w:rPr>
        <w:t>роме того, в том же стиле выполнен построенный в 1097 году Вестминстерский зал приёмов</w:t>
      </w:r>
      <w:r w:rsidR="00F34F1C" w:rsidRPr="00F34F1C">
        <w:rPr>
          <w:rFonts w:ascii="Times New Roman" w:hAnsi="Times New Roman" w:cs="Times New Roman"/>
          <w:sz w:val="28"/>
          <w:szCs w:val="28"/>
        </w:rPr>
        <w:t xml:space="preserve">. </w:t>
      </w:r>
      <w:r w:rsidRPr="00F34F1C">
        <w:rPr>
          <w:rFonts w:ascii="Times New Roman" w:hAnsi="Times New Roman" w:cs="Times New Roman"/>
          <w:sz w:val="28"/>
          <w:szCs w:val="28"/>
        </w:rPr>
        <w:t>XIII столетие стало</w:t>
      </w:r>
      <w:r w:rsidR="00F34F1C" w:rsidRPr="00F34F1C">
        <w:rPr>
          <w:rFonts w:ascii="Times New Roman" w:hAnsi="Times New Roman" w:cs="Times New Roman"/>
          <w:sz w:val="28"/>
          <w:szCs w:val="28"/>
        </w:rPr>
        <w:t xml:space="preserve"> веком ранней английской готики. </w:t>
      </w:r>
      <w:r w:rsidRPr="00F34F1C">
        <w:rPr>
          <w:rFonts w:ascii="Times New Roman" w:hAnsi="Times New Roman" w:cs="Times New Roman"/>
          <w:sz w:val="28"/>
          <w:szCs w:val="28"/>
        </w:rPr>
        <w:t>Одним из ярчайших образцов этого стиля служит Вестминстерское аббатство. В XIV веке для хранения казны Эдуарда III была построена башня Драгоценностей, как часть тогдашнего Вестминстерского дворца.</w:t>
      </w:r>
    </w:p>
    <w:p w:rsidR="004A74E1" w:rsidRDefault="004A74E1" w:rsidP="004A7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4F1C">
        <w:rPr>
          <w:rFonts w:ascii="Times New Roman" w:hAnsi="Times New Roman" w:cs="Times New Roman"/>
          <w:sz w:val="28"/>
          <w:szCs w:val="28"/>
        </w:rPr>
        <w:t>Тюдорский</w:t>
      </w:r>
      <w:proofErr w:type="spellEnd"/>
      <w:r w:rsidRPr="00F34F1C">
        <w:rPr>
          <w:rFonts w:ascii="Times New Roman" w:hAnsi="Times New Roman" w:cs="Times New Roman"/>
          <w:sz w:val="28"/>
          <w:szCs w:val="28"/>
        </w:rPr>
        <w:t xml:space="preserve"> период (англ.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 xml:space="preserve">усск. логично завершил Средние века. Архитектура эпохи Тюдоров похожа на </w:t>
      </w:r>
      <w:proofErr w:type="gramStart"/>
      <w:r w:rsidRPr="00F34F1C">
        <w:rPr>
          <w:rFonts w:ascii="Times New Roman" w:hAnsi="Times New Roman" w:cs="Times New Roman"/>
          <w:sz w:val="28"/>
          <w:szCs w:val="28"/>
        </w:rPr>
        <w:t>готическую</w:t>
      </w:r>
      <w:proofErr w:type="gramEnd"/>
      <w:r w:rsidRPr="00F34F1C">
        <w:rPr>
          <w:rFonts w:ascii="Times New Roman" w:hAnsi="Times New Roman" w:cs="Times New Roman"/>
          <w:sz w:val="28"/>
          <w:szCs w:val="28"/>
        </w:rPr>
        <w:t xml:space="preserve">, но со значительными изменениями вроде глубоких и высоких окон. Часовня Генриха VII в Вестминстере и дворец </w:t>
      </w:r>
      <w:proofErr w:type="spellStart"/>
      <w:r w:rsidRPr="00F34F1C">
        <w:rPr>
          <w:rFonts w:ascii="Times New Roman" w:hAnsi="Times New Roman" w:cs="Times New Roman"/>
          <w:sz w:val="28"/>
          <w:szCs w:val="28"/>
        </w:rPr>
        <w:t>Хэмптон-корт</w:t>
      </w:r>
      <w:proofErr w:type="spellEnd"/>
      <w:r w:rsidRPr="00F34F1C">
        <w:rPr>
          <w:rFonts w:ascii="Times New Roman" w:hAnsi="Times New Roman" w:cs="Times New Roman"/>
          <w:sz w:val="28"/>
          <w:szCs w:val="28"/>
        </w:rPr>
        <w:t xml:space="preserve"> в Ричмонде — памятники архитектуры </w:t>
      </w:r>
      <w:proofErr w:type="spellStart"/>
      <w:r w:rsidRPr="00F34F1C">
        <w:rPr>
          <w:rFonts w:ascii="Times New Roman" w:hAnsi="Times New Roman" w:cs="Times New Roman"/>
          <w:sz w:val="28"/>
          <w:szCs w:val="28"/>
        </w:rPr>
        <w:t>тюдорского</w:t>
      </w:r>
      <w:proofErr w:type="spellEnd"/>
      <w:r w:rsidRPr="00F34F1C">
        <w:rPr>
          <w:rFonts w:ascii="Times New Roman" w:hAnsi="Times New Roman" w:cs="Times New Roman"/>
          <w:sz w:val="28"/>
          <w:szCs w:val="28"/>
        </w:rPr>
        <w:t xml:space="preserve"> периода. При короле Якове I началось обустройство Гринвичского парка.</w:t>
      </w:r>
    </w:p>
    <w:p w:rsidR="00B767EB" w:rsidRPr="00F34F1C" w:rsidRDefault="00B767EB" w:rsidP="004A7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17D0" w:rsidRPr="009417D0" w:rsidRDefault="009417D0" w:rsidP="009417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7D0" w:rsidRDefault="009417D0" w:rsidP="00B53615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17D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Русский иконописный  канон и его особенности.</w:t>
      </w:r>
    </w:p>
    <w:p w:rsidR="00167D48" w:rsidRPr="009417D0" w:rsidRDefault="00167D48" w:rsidP="00167D4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564A" w:rsidRDefault="00CA564A" w:rsidP="00CA56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564A">
        <w:rPr>
          <w:rFonts w:ascii="Times New Roman" w:hAnsi="Times New Roman" w:cs="Times New Roman"/>
          <w:sz w:val="28"/>
          <w:szCs w:val="28"/>
        </w:rPr>
        <w:t>Ико́на</w:t>
      </w:r>
      <w:proofErr w:type="spellEnd"/>
      <w:r w:rsidRPr="00CA564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A564A">
        <w:rPr>
          <w:rFonts w:ascii="Times New Roman" w:hAnsi="Times New Roman" w:cs="Times New Roman"/>
          <w:sz w:val="28"/>
          <w:szCs w:val="28"/>
        </w:rPr>
        <w:t>ср</w:t>
      </w:r>
      <w:proofErr w:type="gramStart"/>
      <w:r w:rsidRPr="00CA564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A564A">
        <w:rPr>
          <w:rFonts w:ascii="Times New Roman" w:hAnsi="Times New Roman" w:cs="Times New Roman"/>
          <w:sz w:val="28"/>
          <w:szCs w:val="28"/>
        </w:rPr>
        <w:t>греч</w:t>
      </w:r>
      <w:proofErr w:type="spellEnd"/>
      <w:r w:rsidRPr="00CA564A">
        <w:rPr>
          <w:rFonts w:ascii="Times New Roman" w:hAnsi="Times New Roman" w:cs="Times New Roman"/>
          <w:sz w:val="28"/>
          <w:szCs w:val="28"/>
        </w:rPr>
        <w:t>. ε</w:t>
      </w:r>
      <w:r w:rsidRPr="00CA564A">
        <w:rPr>
          <w:rFonts w:ascii="Tahoma" w:hAnsi="Tahoma" w:cs="Tahoma"/>
          <w:sz w:val="28"/>
          <w:szCs w:val="28"/>
        </w:rPr>
        <w:t>ἰ</w:t>
      </w:r>
      <w:r w:rsidRPr="00CA564A">
        <w:rPr>
          <w:rFonts w:ascii="Times New Roman" w:hAnsi="Times New Roman" w:cs="Times New Roman"/>
          <w:sz w:val="28"/>
          <w:szCs w:val="28"/>
        </w:rPr>
        <w:t xml:space="preserve">κόνα от </w:t>
      </w:r>
      <w:proofErr w:type="spellStart"/>
      <w:r w:rsidRPr="00CA564A">
        <w:rPr>
          <w:rFonts w:ascii="Times New Roman" w:hAnsi="Times New Roman" w:cs="Times New Roman"/>
          <w:sz w:val="28"/>
          <w:szCs w:val="28"/>
        </w:rPr>
        <w:t>др.-греч</w:t>
      </w:r>
      <w:proofErr w:type="spellEnd"/>
      <w:r w:rsidRPr="00CA564A">
        <w:rPr>
          <w:rFonts w:ascii="Times New Roman" w:hAnsi="Times New Roman" w:cs="Times New Roman"/>
          <w:sz w:val="28"/>
          <w:szCs w:val="28"/>
        </w:rPr>
        <w:t>. ε</w:t>
      </w:r>
      <w:r w:rsidRPr="00CA564A">
        <w:rPr>
          <w:rFonts w:ascii="Tahoma" w:hAnsi="Tahoma" w:cs="Tahoma"/>
          <w:sz w:val="28"/>
          <w:szCs w:val="28"/>
        </w:rPr>
        <w:t>ἰ</w:t>
      </w:r>
      <w:r w:rsidRPr="00CA564A">
        <w:rPr>
          <w:rFonts w:ascii="Times New Roman" w:hAnsi="Times New Roman" w:cs="Times New Roman"/>
          <w:sz w:val="28"/>
          <w:szCs w:val="28"/>
        </w:rPr>
        <w:t xml:space="preserve">κών «образ», «изображение») — в христианстве изображение лиц или событий священной или церковной истории, являющееся предметом почитания. </w:t>
      </w:r>
      <w:r>
        <w:rPr>
          <w:rFonts w:ascii="Times New Roman" w:hAnsi="Times New Roman" w:cs="Times New Roman"/>
          <w:sz w:val="28"/>
          <w:szCs w:val="28"/>
        </w:rPr>
        <w:t>Изображения выполняются строго в соответствии с каноном.</w:t>
      </w:r>
    </w:p>
    <w:p w:rsidR="00167D48" w:rsidRPr="009E0661" w:rsidRDefault="00CA564A" w:rsidP="009E06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0661">
        <w:rPr>
          <w:rFonts w:ascii="Times New Roman" w:hAnsi="Times New Roman" w:cs="Times New Roman"/>
          <w:i/>
          <w:sz w:val="28"/>
          <w:szCs w:val="28"/>
        </w:rPr>
        <w:t>О</w:t>
      </w:r>
      <w:r w:rsidR="00167D48" w:rsidRPr="009E0661">
        <w:rPr>
          <w:rFonts w:ascii="Times New Roman" w:hAnsi="Times New Roman" w:cs="Times New Roman"/>
          <w:i/>
          <w:sz w:val="28"/>
          <w:szCs w:val="28"/>
        </w:rPr>
        <w:t>сновные правила: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Пропорции. Ширина древних икон соотносится с высотой 3:4 или 4:5, независимо от размеров доски иконы.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Размеры фигур. Высота лица равна 0,1 высоты его тела. Расстояние между зрачками равнялось размеру носа.</w:t>
      </w:r>
    </w:p>
    <w:p w:rsidR="00B53615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3615">
        <w:rPr>
          <w:rFonts w:ascii="Times New Roman" w:hAnsi="Times New Roman" w:cs="Times New Roman"/>
          <w:sz w:val="28"/>
          <w:szCs w:val="28"/>
        </w:rPr>
        <w:t xml:space="preserve">Линии. На иконе не должно быть рваных линий, они либо замкнуты, либо исходят из одной точки, либо соединяются с другой линией. </w:t>
      </w:r>
    </w:p>
    <w:p w:rsidR="00167D48" w:rsidRPr="00B53615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53615">
        <w:rPr>
          <w:rFonts w:ascii="Times New Roman" w:hAnsi="Times New Roman" w:cs="Times New Roman"/>
          <w:sz w:val="28"/>
          <w:szCs w:val="28"/>
        </w:rPr>
        <w:t xml:space="preserve">Использование обратной перспективы – </w:t>
      </w:r>
      <w:r w:rsidR="00B53615" w:rsidRPr="00B53615">
        <w:rPr>
          <w:rFonts w:ascii="Times New Roman" w:hAnsi="Times New Roman" w:cs="Times New Roman"/>
          <w:sz w:val="28"/>
          <w:szCs w:val="28"/>
        </w:rPr>
        <w:t>п</w:t>
      </w:r>
      <w:r w:rsidRPr="00B53615">
        <w:rPr>
          <w:rFonts w:ascii="Times New Roman" w:hAnsi="Times New Roman" w:cs="Times New Roman"/>
          <w:sz w:val="28"/>
          <w:szCs w:val="28"/>
        </w:rPr>
        <w:t>о мере удаления от зрителя предметы не уменьшаются, а увеличиваются.</w:t>
      </w:r>
    </w:p>
    <w:p w:rsidR="00167D48" w:rsidRPr="00B767EB" w:rsidRDefault="00167D48" w:rsidP="00B767E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7EB">
        <w:rPr>
          <w:rFonts w:ascii="Times New Roman" w:hAnsi="Times New Roman" w:cs="Times New Roman"/>
          <w:sz w:val="28"/>
          <w:szCs w:val="28"/>
        </w:rPr>
        <w:t>Специальные правила оговаривали нанесение красок, использование определенных цветов и т.п.</w:t>
      </w:r>
      <w:r w:rsidR="00CA564A" w:rsidRPr="00B767EB">
        <w:rPr>
          <w:rFonts w:ascii="Times New Roman" w:hAnsi="Times New Roman" w:cs="Times New Roman"/>
          <w:sz w:val="28"/>
          <w:szCs w:val="28"/>
        </w:rPr>
        <w:t xml:space="preserve"> </w:t>
      </w:r>
      <w:r w:rsidRPr="00B767EB">
        <w:rPr>
          <w:rFonts w:ascii="Times New Roman" w:hAnsi="Times New Roman" w:cs="Times New Roman"/>
          <w:sz w:val="28"/>
          <w:szCs w:val="28"/>
        </w:rPr>
        <w:t>Все живописцы прибегали к символике красок, каждый цвет нес свою смысловую нагрузку.</w:t>
      </w:r>
    </w:p>
    <w:p w:rsidR="00167D48" w:rsidRPr="00CA564A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Золотой – цвет, символизирующий сияние Божественной сла</w:t>
      </w:r>
      <w:r w:rsidR="00B767EB">
        <w:rPr>
          <w:rFonts w:ascii="Times New Roman" w:hAnsi="Times New Roman" w:cs="Times New Roman"/>
          <w:sz w:val="28"/>
          <w:szCs w:val="28"/>
        </w:rPr>
        <w:t>вы. Выражение</w:t>
      </w:r>
      <w:r w:rsidRPr="00CA564A">
        <w:rPr>
          <w:rFonts w:ascii="Times New Roman" w:hAnsi="Times New Roman" w:cs="Times New Roman"/>
          <w:sz w:val="28"/>
          <w:szCs w:val="28"/>
        </w:rPr>
        <w:t xml:space="preserve"> святости и принадлежащих к миру вечных ценностей. </w:t>
      </w:r>
    </w:p>
    <w:p w:rsidR="00167D48" w:rsidRPr="00CA564A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 xml:space="preserve">Желтый, или охра – цвет наиболее близкий по спектру к золотому, часто является просто его заменой, также является цветом высшей власти ангелов. </w:t>
      </w:r>
    </w:p>
    <w:p w:rsidR="00FB11E0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1E0">
        <w:rPr>
          <w:rFonts w:ascii="Times New Roman" w:hAnsi="Times New Roman" w:cs="Times New Roman"/>
          <w:sz w:val="28"/>
          <w:szCs w:val="28"/>
        </w:rPr>
        <w:t xml:space="preserve">Белый – цвет, символизирующий чистоту и непорочность, причастность к божественному миру. </w:t>
      </w:r>
    </w:p>
    <w:p w:rsidR="00167D48" w:rsidRPr="00FB11E0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1E0">
        <w:rPr>
          <w:rFonts w:ascii="Times New Roman" w:hAnsi="Times New Roman" w:cs="Times New Roman"/>
          <w:sz w:val="28"/>
          <w:szCs w:val="28"/>
        </w:rPr>
        <w:t xml:space="preserve">Черный – цвет, символизирующий в одних случаях ад, максимальную удаленность от Бога, в других – знак печали и смирения. </w:t>
      </w:r>
    </w:p>
    <w:p w:rsidR="00167D48" w:rsidRPr="00CA564A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564A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CA564A">
        <w:rPr>
          <w:rFonts w:ascii="Times New Roman" w:hAnsi="Times New Roman" w:cs="Times New Roman"/>
          <w:sz w:val="28"/>
          <w:szCs w:val="28"/>
        </w:rPr>
        <w:t xml:space="preserve"> – цвет Богородицы, означал также чистоту и праведность. </w:t>
      </w:r>
    </w:p>
    <w:p w:rsidR="00167D48" w:rsidRPr="00CA564A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Синий – цвет величия, символизировал божественное, небесное</w:t>
      </w:r>
      <w:r w:rsidR="00B767EB">
        <w:rPr>
          <w:rFonts w:ascii="Times New Roman" w:hAnsi="Times New Roman" w:cs="Times New Roman"/>
          <w:sz w:val="28"/>
          <w:szCs w:val="28"/>
        </w:rPr>
        <w:t>.</w:t>
      </w:r>
    </w:p>
    <w:p w:rsidR="00167D48" w:rsidRPr="00CA564A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 xml:space="preserve">Красный – царский цвет, символ власти и могущества; мог быть символом искупительной крови, мученичества. </w:t>
      </w:r>
    </w:p>
    <w:p w:rsidR="00167D48" w:rsidRPr="00CA564A" w:rsidRDefault="00167D48" w:rsidP="00CA56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 xml:space="preserve">Зеленый – символизировал вечную жизнь, вечное цветение, это также цвет Духа Святого. </w:t>
      </w:r>
    </w:p>
    <w:p w:rsidR="00167D48" w:rsidRPr="00CA564A" w:rsidRDefault="00167D48" w:rsidP="00CA564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 xml:space="preserve">Средневековый живописец не производил смешения красок во время работы, цвета составлялись заранее и являлись обязательными. </w:t>
      </w:r>
      <w:r w:rsidR="00FB11E0">
        <w:rPr>
          <w:rFonts w:ascii="Times New Roman" w:hAnsi="Times New Roman" w:cs="Times New Roman"/>
          <w:sz w:val="28"/>
          <w:szCs w:val="28"/>
        </w:rPr>
        <w:t xml:space="preserve">Краски </w:t>
      </w:r>
      <w:r w:rsidRPr="00CA564A">
        <w:rPr>
          <w:rFonts w:ascii="Times New Roman" w:hAnsi="Times New Roman" w:cs="Times New Roman"/>
          <w:sz w:val="28"/>
          <w:szCs w:val="28"/>
        </w:rPr>
        <w:t xml:space="preserve">растирались на яичном желтке, были очень прочными и яркими. </w:t>
      </w:r>
    </w:p>
    <w:p w:rsidR="00167D48" w:rsidRPr="00CA564A" w:rsidRDefault="00167D48" w:rsidP="00CA564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Символическую нагрузку носила также и жестикуляция. Жест в иконе несет определенную информацию: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рука, прижатая к груди – сердечное сопереживание;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рука, поднятая вверх – призыв к покаянию;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рука, протянутая вперед с раскрытой ладонью – знак повиновения и покорности;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две руки, поднятые вверх – моление о мире;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>руки, поднятые вперед – моление о помощи, жест просьбы;</w:t>
      </w:r>
    </w:p>
    <w:p w:rsidR="00167D48" w:rsidRPr="00CA564A" w:rsidRDefault="00167D48" w:rsidP="00CA56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 xml:space="preserve">руки, прижаты к щекам – знак печали, скорби. </w:t>
      </w:r>
    </w:p>
    <w:p w:rsidR="00393030" w:rsidRPr="009417D0" w:rsidRDefault="00167D48" w:rsidP="00FB11E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564A">
        <w:rPr>
          <w:rFonts w:ascii="Times New Roman" w:hAnsi="Times New Roman" w:cs="Times New Roman"/>
          <w:sz w:val="28"/>
          <w:szCs w:val="28"/>
        </w:rPr>
        <w:t xml:space="preserve">Большое значение имели также и предметы в руках изображенного святого, как знаки его служения. </w:t>
      </w:r>
      <w:r w:rsidR="00FB11E0">
        <w:rPr>
          <w:rFonts w:ascii="Times New Roman" w:hAnsi="Times New Roman" w:cs="Times New Roman"/>
          <w:sz w:val="28"/>
          <w:szCs w:val="28"/>
        </w:rPr>
        <w:t xml:space="preserve">Книга </w:t>
      </w:r>
      <w:r w:rsidRPr="00CA564A">
        <w:rPr>
          <w:rFonts w:ascii="Times New Roman" w:hAnsi="Times New Roman" w:cs="Times New Roman"/>
          <w:sz w:val="28"/>
          <w:szCs w:val="28"/>
        </w:rPr>
        <w:t>в руках – это Евангелие, ключи – это ключи от царства Божия. Мученики изображаются с крестом в руках или пальмовой ветвью – символами принадлежности к Царству Небесному, пророки обычно держат в руках свитки своих пророчеств.</w:t>
      </w:r>
    </w:p>
    <w:sectPr w:rsidR="00393030" w:rsidRPr="009417D0" w:rsidSect="004A74E1">
      <w:pgSz w:w="11906" w:h="16838"/>
      <w:pgMar w:top="709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12D"/>
    <w:multiLevelType w:val="hybridMultilevel"/>
    <w:tmpl w:val="2E82A4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9659C"/>
    <w:multiLevelType w:val="hybridMultilevel"/>
    <w:tmpl w:val="E1483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87797"/>
    <w:multiLevelType w:val="hybridMultilevel"/>
    <w:tmpl w:val="69B6D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9417D0"/>
    <w:rsid w:val="000842E0"/>
    <w:rsid w:val="00167D48"/>
    <w:rsid w:val="001D0A33"/>
    <w:rsid w:val="00393030"/>
    <w:rsid w:val="004A74E1"/>
    <w:rsid w:val="009417D0"/>
    <w:rsid w:val="009E0661"/>
    <w:rsid w:val="00B53615"/>
    <w:rsid w:val="00B767EB"/>
    <w:rsid w:val="00CA564A"/>
    <w:rsid w:val="00F34F1C"/>
    <w:rsid w:val="00FB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6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2012-05-12T15:15:00Z</dcterms:created>
  <dcterms:modified xsi:type="dcterms:W3CDTF">2012-05-12T15:44:00Z</dcterms:modified>
</cp:coreProperties>
</file>